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rFonts w:ascii="Arial" w:hAnsi="Arial"/>
          <w:b/>
          <w:color w:val="0C4A7A"/>
          <w:sz w:val="30"/>
        </w:rPr>
        <w:t>TRÍ TÍN CONSULTING</w:t>
      </w:r>
    </w:p>
    <w:p>
      <w:r>
        <w:rPr>
          <w:rFonts w:ascii="Arial" w:hAnsi="Arial"/>
          <w:sz w:val="17"/>
        </w:rPr>
        <w:t>CÔNG TY TNHH DỊCH VỤ TƯ VẤN TRÍ TÍN · MST 0314542451 · Hotline/Zalo 0901 305 405 · www.tritinconsulting.com</w:t>
      </w:r>
    </w:p>
    <w:p>
      <w:r>
        <w:rPr>
          <w:rFonts w:ascii="Arial" w:hAnsi="Arial"/>
          <w:b/>
          <w:sz w:val="26"/>
        </w:rPr>
        <w:t>Hướng dẫn sử dụng bộ chứng từ mẫu: nhân viên thanh toán hộ hóa đơn từ 5 triệu đồng</w:t>
      </w:r>
    </w:p>
    <w:p>
      <w:r>
        <w:rPr>
          <w:rFonts w:ascii="Times New Roman" w:hAnsi="Times New Roman"/>
          <w:b w:val="0"/>
          <w:i/>
          <w:sz w:val="19"/>
        </w:rPr>
        <w:t>Rà soát theo quy định đến ngày 21/10/2026. Đi kèm bài viết cùng tên trên www.tritinconsulting.com (Cẩm nang).</w:t>
      </w:r>
    </w:p>
    <w:p>
      <w:pPr>
        <w:spacing w:before="160"/>
      </w:pPr>
      <w:r>
        <w:rPr>
          <w:rFonts w:ascii="Arial" w:hAnsi="Arial"/>
          <w:b/>
          <w:sz w:val="22"/>
        </w:rPr>
        <w:t>1. Bộ mẫu gồm những gì</w:t>
      </w:r>
    </w:p>
    <w:tbl>
      <w:tblPr>
        <w:tblW w:type="auto" w:w="0"/>
        <w:jc w:val="center"/>
        <w:tblLook w:firstColumn="1" w:firstRow="1" w:lastColumn="0" w:lastRow="0" w:noHBand="0" w:noVBand="1" w:val="04A0"/>
        <w:tblBorders>
          <w:top w:val="single" w:sz="4" w:color="808080"/>
          <w:left w:val="single" w:sz="4" w:color="808080"/>
          <w:bottom w:val="single" w:sz="4" w:color="808080"/>
          <w:right w:val="single" w:sz="4" w:color="808080"/>
          <w:insideH w:val="single" w:sz="4" w:color="808080"/>
          <w:insideV w:val="single" w:sz="4" w:color="808080"/>
        </w:tblBorders>
      </w:tblPr>
      <w:tblGrid>
        <w:gridCol w:w="3118"/>
        <w:gridCol w:w="3118"/>
        <w:gridCol w:w="3118"/>
      </w:tblGrid>
      <w:tr>
        <w:tc>
          <w:tcPr>
            <w:tcW w:type="dxa" w:w="2608"/>
          </w:tcPr>
          <w:p>
            <w:r/>
            <w:r>
              <w:rPr>
                <w:rFonts w:ascii="Times New Roman" w:hAnsi="Times New Roman"/>
                <w:b/>
                <w:i w:val="0"/>
                <w:sz w:val="19"/>
              </w:rPr>
              <w:t>File</w:t>
            </w:r>
          </w:p>
        </w:tc>
        <w:tc>
          <w:tcPr>
            <w:tcW w:type="dxa" w:w="4762"/>
          </w:tcPr>
          <w:p>
            <w:r/>
            <w:r>
              <w:rPr>
                <w:rFonts w:ascii="Times New Roman" w:hAnsi="Times New Roman"/>
                <w:b/>
                <w:i w:val="0"/>
                <w:sz w:val="19"/>
              </w:rPr>
              <w:t>Dùng để</w:t>
            </w:r>
          </w:p>
        </w:tc>
        <w:tc>
          <w:tcPr>
            <w:tcW w:type="dxa" w:w="2268"/>
          </w:tcPr>
          <w:p>
            <w:r/>
            <w:r>
              <w:rPr>
                <w:rFonts w:ascii="Times New Roman" w:hAnsi="Times New Roman"/>
                <w:b/>
                <w:i w:val="0"/>
                <w:sz w:val="19"/>
              </w:rPr>
              <w:t>Ai điền</w:t>
            </w:r>
          </w:p>
        </w:tc>
      </w:tr>
      <w:tr>
        <w:tc>
          <w:tcPr>
            <w:tcW w:type="dxa" w:w="2608"/>
          </w:tcPr>
          <w:p>
            <w:r>
              <w:rPr>
                <w:rFonts w:ascii="Times New Roman" w:hAnsi="Times New Roman"/>
                <w:b w:val="0"/>
                <w:i w:val="0"/>
                <w:sz w:val="19"/>
              </w:rPr>
              <w:t>01 Quy chế (Word)</w:t>
            </w:r>
          </w:p>
        </w:tc>
        <w:tc>
          <w:tcPr>
            <w:tcW w:type="dxa" w:w="4762"/>
          </w:tcPr>
          <w:p>
            <w:r>
              <w:rPr>
                <w:rFonts w:ascii="Times New Roman" w:hAnsi="Times New Roman"/>
                <w:b w:val="0"/>
                <w:i w:val="0"/>
                <w:sz w:val="19"/>
              </w:rPr>
              <w:t>Quyết định + quy chế cho phép người lao động thanh toán hộ, tạm ứng</w:t>
            </w:r>
          </w:p>
        </w:tc>
        <w:tc>
          <w:tcPr>
            <w:tcW w:type="dxa" w:w="2268"/>
          </w:tcPr>
          <w:p>
            <w:r>
              <w:rPr>
                <w:rFonts w:ascii="Times New Roman" w:hAnsi="Times New Roman"/>
                <w:b w:val="0"/>
                <w:i w:val="0"/>
                <w:sz w:val="19"/>
              </w:rPr>
              <w:t>Giám đốc, kế toán</w:t>
            </w:r>
          </w:p>
        </w:tc>
      </w:tr>
      <w:tr>
        <w:tc>
          <w:tcPr>
            <w:tcW w:type="dxa" w:w="2608"/>
          </w:tcPr>
          <w:p>
            <w:r>
              <w:rPr>
                <w:rFonts w:ascii="Times New Roman" w:hAnsi="Times New Roman"/>
                <w:b w:val="0"/>
                <w:i w:val="0"/>
                <w:sz w:val="19"/>
              </w:rPr>
              <w:t>02 Giấy ủy quyền (Word)</w:t>
            </w:r>
          </w:p>
        </w:tc>
        <w:tc>
          <w:tcPr>
            <w:tcW w:type="dxa" w:w="4762"/>
          </w:tcPr>
          <w:p>
            <w:r>
              <w:rPr>
                <w:rFonts w:ascii="Times New Roman" w:hAnsi="Times New Roman"/>
                <w:b w:val="0"/>
                <w:i w:val="0"/>
                <w:sz w:val="19"/>
              </w:rPr>
              <w:t>Ủy quyền từng người hoặc từng giao dịch</w:t>
            </w:r>
          </w:p>
        </w:tc>
        <w:tc>
          <w:tcPr>
            <w:tcW w:type="dxa" w:w="2268"/>
          </w:tcPr>
          <w:p>
            <w:r>
              <w:rPr>
                <w:rFonts w:ascii="Times New Roman" w:hAnsi="Times New Roman"/>
                <w:b w:val="0"/>
                <w:i w:val="0"/>
                <w:sz w:val="19"/>
              </w:rPr>
              <w:t>Giám đốc, người lao động</w:t>
            </w:r>
          </w:p>
        </w:tc>
      </w:tr>
      <w:tr>
        <w:tc>
          <w:tcPr>
            <w:tcW w:type="dxa" w:w="2608"/>
          </w:tcPr>
          <w:p>
            <w:r>
              <w:rPr>
                <w:rFonts w:ascii="Times New Roman" w:hAnsi="Times New Roman"/>
                <w:b w:val="0"/>
                <w:i w:val="0"/>
                <w:sz w:val="19"/>
              </w:rPr>
              <w:t>03 Giấy đề nghị (Word)</w:t>
            </w:r>
          </w:p>
        </w:tc>
        <w:tc>
          <w:tcPr>
            <w:tcW w:type="dxa" w:w="4762"/>
          </w:tcPr>
          <w:p>
            <w:r>
              <w:rPr>
                <w:rFonts w:ascii="Times New Roman" w:hAnsi="Times New Roman"/>
                <w:b w:val="0"/>
                <w:i w:val="0"/>
                <w:sz w:val="19"/>
              </w:rPr>
              <w:t>Xin duyệt trước khi thanh toán hộ hoặc tạm ứng</w:t>
            </w:r>
          </w:p>
        </w:tc>
        <w:tc>
          <w:tcPr>
            <w:tcW w:type="dxa" w:w="2268"/>
          </w:tcPr>
          <w:p>
            <w:r>
              <w:rPr>
                <w:rFonts w:ascii="Times New Roman" w:hAnsi="Times New Roman"/>
                <w:b w:val="0"/>
                <w:i w:val="0"/>
                <w:sz w:val="19"/>
              </w:rPr>
              <w:t>Người lao động</w:t>
            </w:r>
          </w:p>
        </w:tc>
      </w:tr>
      <w:tr>
        <w:tc>
          <w:tcPr>
            <w:tcW w:type="dxa" w:w="2608"/>
          </w:tcPr>
          <w:p>
            <w:r>
              <w:rPr>
                <w:rFonts w:ascii="Times New Roman" w:hAnsi="Times New Roman"/>
                <w:b w:val="0"/>
                <w:i w:val="0"/>
                <w:sz w:val="19"/>
              </w:rPr>
              <w:t>04 Bảng theo dõi và bảng kiểm (Excel)</w:t>
            </w:r>
          </w:p>
        </w:tc>
        <w:tc>
          <w:tcPr>
            <w:tcW w:type="dxa" w:w="4762"/>
          </w:tcPr>
          <w:p>
            <w:r>
              <w:rPr>
                <w:rFonts w:ascii="Times New Roman" w:hAnsi="Times New Roman"/>
                <w:b w:val="0"/>
                <w:i w:val="0"/>
                <w:sz w:val="19"/>
              </w:rPr>
              <w:t>Theo dõi từng hóa đơn, tự cảnh báo ngưỡng 5 triệu, kiểm tra đủ hồ sơ, thanh toán tạm ứng</w:t>
            </w:r>
          </w:p>
        </w:tc>
        <w:tc>
          <w:tcPr>
            <w:tcW w:type="dxa" w:w="2268"/>
          </w:tcPr>
          <w:p>
            <w:r>
              <w:rPr>
                <w:rFonts w:ascii="Times New Roman" w:hAnsi="Times New Roman"/>
                <w:b w:val="0"/>
                <w:i w:val="0"/>
                <w:sz w:val="19"/>
              </w:rPr>
              <w:t>Kế toán</w:t>
            </w:r>
          </w:p>
        </w:tc>
      </w:tr>
    </w:tbl>
    <w:p>
      <w:pPr>
        <w:spacing w:before="160"/>
      </w:pPr>
      <w:r>
        <w:rPr>
          <w:rFonts w:ascii="Arial" w:hAnsi="Arial"/>
          <w:b/>
          <w:sz w:val="22"/>
        </w:rPr>
        <w:t>2. Dùng thế nào (5 bước)</w:t>
      </w:r>
    </w:p>
    <w:p>
      <w:pPr>
        <w:spacing w:after="20"/>
      </w:pPr>
      <w:r>
        <w:rPr>
          <w:rFonts w:ascii="Times New Roman" w:hAnsi="Times New Roman"/>
          <w:b w:val="0"/>
          <w:i w:val="0"/>
          <w:sz w:val="20"/>
        </w:rPr>
        <w:t>1. Điền các chỗ được tô vàng trong file 01, ký ban hành quy chế TRƯỚC khi cho nhân viên thanh toán hộ.</w:t>
      </w:r>
    </w:p>
    <w:p>
      <w:pPr>
        <w:spacing w:after="20"/>
      </w:pPr>
      <w:r>
        <w:rPr>
          <w:rFonts w:ascii="Times New Roman" w:hAnsi="Times New Roman"/>
          <w:b w:val="0"/>
          <w:i w:val="0"/>
          <w:sz w:val="20"/>
        </w:rPr>
        <w:t>2. Với mỗi nhân viên hoặc mỗi giao dịch: lập Giấy ủy quyền (file 02) và Giấy đề nghị được duyệt (file 03).</w:t>
      </w:r>
    </w:p>
    <w:p>
      <w:pPr>
        <w:spacing w:after="20"/>
      </w:pPr>
      <w:r>
        <w:rPr>
          <w:rFonts w:ascii="Times New Roman" w:hAnsi="Times New Roman"/>
          <w:b w:val="0"/>
          <w:i w:val="0"/>
          <w:sz w:val="20"/>
        </w:rPr>
        <w:t>3. Nhân viên chuyển khoản từ tài khoản của chính mình; yêu cầu nhà cung cấp xuất hóa đơn mang tên và mã số thuế công ty.</w:t>
      </w:r>
    </w:p>
    <w:p>
      <w:pPr>
        <w:spacing w:after="20"/>
      </w:pPr>
      <w:r>
        <w:rPr>
          <w:rFonts w:ascii="Times New Roman" w:hAnsi="Times New Roman"/>
          <w:b w:val="0"/>
          <w:i w:val="0"/>
          <w:sz w:val="20"/>
        </w:rPr>
        <w:t>4. Công ty chuyển khoản thanh toán lại cho nhân viên (hoặc quyết toán tạm ứng nếu có tạm ứng trước).</w:t>
      </w:r>
    </w:p>
    <w:p>
      <w:pPr>
        <w:spacing w:after="20"/>
      </w:pPr>
      <w:r>
        <w:rPr>
          <w:rFonts w:ascii="Times New Roman" w:hAnsi="Times New Roman"/>
          <w:b w:val="0"/>
          <w:i w:val="0"/>
          <w:sz w:val="20"/>
        </w:rPr>
        <w:t>5. Kế toán ghi từng hóa đơn vào file 04, tick bảng kiểm. Dòng nào báo "Thiếu hồ sơ" thì bổ sung trước khi kê khai khấu trừ.</w:t>
      </w:r>
    </w:p>
    <w:p>
      <w:pPr>
        <w:spacing w:before="160"/>
      </w:pPr>
      <w:r>
        <w:rPr>
          <w:rFonts w:ascii="Arial" w:hAnsi="Arial"/>
          <w:b/>
          <w:sz w:val="22"/>
        </w:rPr>
        <w:t>3. Đối chiếu yêu cầu của quy định với bộ mẫu</w:t>
      </w:r>
    </w:p>
    <w:tbl>
      <w:tblPr>
        <w:tblW w:type="auto" w:w="0"/>
        <w:jc w:val="center"/>
        <w:tblLook w:firstColumn="1" w:firstRow="1" w:lastColumn="0" w:lastRow="0" w:noHBand="0" w:noVBand="1" w:val="04A0"/>
        <w:tblBorders>
          <w:top w:val="single" w:sz="4" w:color="808080"/>
          <w:left w:val="single" w:sz="4" w:color="808080"/>
          <w:bottom w:val="single" w:sz="4" w:color="808080"/>
          <w:right w:val="single" w:sz="4" w:color="808080"/>
          <w:insideH w:val="single" w:sz="4" w:color="808080"/>
          <w:insideV w:val="single" w:sz="4" w:color="808080"/>
        </w:tblBorders>
      </w:tblPr>
      <w:tblGrid>
        <w:gridCol w:w="3118"/>
        <w:gridCol w:w="3118"/>
        <w:gridCol w:w="3118"/>
      </w:tblGrid>
      <w:tr>
        <w:tc>
          <w:tcPr>
            <w:tcW w:type="dxa" w:w="3288"/>
          </w:tcPr>
          <w:p>
            <w:r/>
            <w:r>
              <w:rPr>
                <w:rFonts w:ascii="Times New Roman" w:hAnsi="Times New Roman"/>
                <w:b/>
                <w:i w:val="0"/>
                <w:sz w:val="18"/>
              </w:rPr>
              <w:t>Yêu cầu</w:t>
            </w:r>
          </w:p>
        </w:tc>
        <w:tc>
          <w:tcPr>
            <w:tcW w:type="dxa" w:w="3969"/>
          </w:tcPr>
          <w:p>
            <w:r/>
            <w:r>
              <w:rPr>
                <w:rFonts w:ascii="Times New Roman" w:hAnsi="Times New Roman"/>
                <w:b/>
                <w:i w:val="0"/>
                <w:sz w:val="18"/>
              </w:rPr>
              <w:t>Căn cứ</w:t>
            </w:r>
          </w:p>
        </w:tc>
        <w:tc>
          <w:tcPr>
            <w:tcW w:type="dxa" w:w="2381"/>
          </w:tcPr>
          <w:p>
            <w:r/>
            <w:r>
              <w:rPr>
                <w:rFonts w:ascii="Times New Roman" w:hAnsi="Times New Roman"/>
                <w:b/>
                <w:i w:val="0"/>
                <w:sz w:val="18"/>
              </w:rPr>
              <w:t>Mẫu đáp ứng</w:t>
            </w:r>
          </w:p>
        </w:tc>
      </w:tr>
      <w:tr>
        <w:tc>
          <w:tcPr>
            <w:tcW w:type="dxa" w:w="3288"/>
          </w:tcPr>
          <w:p>
            <w:r>
              <w:rPr>
                <w:rFonts w:ascii="Times New Roman" w:hAnsi="Times New Roman"/>
                <w:b w:val="0"/>
                <w:i w:val="0"/>
                <w:sz w:val="18"/>
              </w:rPr>
              <w:t>Hóa đơn GTGT mang tên công ty</w:t>
            </w:r>
          </w:p>
        </w:tc>
        <w:tc>
          <w:tcPr>
            <w:tcW w:type="dxa" w:w="3969"/>
          </w:tcPr>
          <w:p>
            <w:r>
              <w:rPr>
                <w:rFonts w:ascii="Times New Roman" w:hAnsi="Times New Roman"/>
                <w:b w:val="0"/>
                <w:i w:val="0"/>
                <w:sz w:val="18"/>
              </w:rPr>
              <w:t>Luật GTGT 48/2024 Điều 14 khoản 2 điểm a; NĐ 181/2025 Điều 25</w:t>
            </w:r>
          </w:p>
        </w:tc>
        <w:tc>
          <w:tcPr>
            <w:tcW w:type="dxa" w:w="2381"/>
          </w:tcPr>
          <w:p>
            <w:r>
              <w:rPr>
                <w:rFonts w:ascii="Times New Roman" w:hAnsi="Times New Roman"/>
                <w:b w:val="0"/>
                <w:i w:val="0"/>
                <w:sz w:val="18"/>
              </w:rPr>
              <w:t>02, 03 (ghi yêu cầu), 04 (bảng kiểm)</w:t>
            </w:r>
          </w:p>
        </w:tc>
      </w:tr>
      <w:tr>
        <w:tc>
          <w:tcPr>
            <w:tcW w:type="dxa" w:w="3288"/>
          </w:tcPr>
          <w:p>
            <w:r>
              <w:rPr>
                <w:rFonts w:ascii="Times New Roman" w:hAnsi="Times New Roman"/>
                <w:b w:val="0"/>
                <w:i w:val="0"/>
                <w:sz w:val="18"/>
              </w:rPr>
              <w:t>Quy chế hoặc quyết định cho phép nhân viên thanh toán hộ</w:t>
            </w:r>
          </w:p>
        </w:tc>
        <w:tc>
          <w:tcPr>
            <w:tcW w:type="dxa" w:w="3969"/>
          </w:tcPr>
          <w:p>
            <w:r>
              <w:rPr>
                <w:rFonts w:ascii="Times New Roman" w:hAnsi="Times New Roman"/>
                <w:b w:val="0"/>
                <w:i w:val="0"/>
                <w:sz w:val="18"/>
              </w:rPr>
              <w:t>NĐ 320/2025 Điều 9.1.c2; TT 20/2026 Điều 3.13.b; NĐ 181/2025 Điều 26.2.i</w:t>
            </w:r>
          </w:p>
        </w:tc>
        <w:tc>
          <w:tcPr>
            <w:tcW w:type="dxa" w:w="2381"/>
          </w:tcPr>
          <w:p>
            <w:r>
              <w:rPr>
                <w:rFonts w:ascii="Times New Roman" w:hAnsi="Times New Roman"/>
                <w:b w:val="0"/>
                <w:i w:val="0"/>
                <w:sz w:val="18"/>
              </w:rPr>
              <w:t>01</w:t>
            </w:r>
          </w:p>
        </w:tc>
      </w:tr>
      <w:tr>
        <w:tc>
          <w:tcPr>
            <w:tcW w:type="dxa" w:w="3288"/>
          </w:tcPr>
          <w:p>
            <w:r>
              <w:rPr>
                <w:rFonts w:ascii="Times New Roman" w:hAnsi="Times New Roman"/>
                <w:b w:val="0"/>
                <w:i w:val="0"/>
                <w:sz w:val="18"/>
              </w:rPr>
              <w:t>Chứng từ chuyển khoản của nhân viên cho nhà cung cấp</w:t>
            </w:r>
          </w:p>
        </w:tc>
        <w:tc>
          <w:tcPr>
            <w:tcW w:type="dxa" w:w="3969"/>
          </w:tcPr>
          <w:p>
            <w:r>
              <w:rPr>
                <w:rFonts w:ascii="Times New Roman" w:hAnsi="Times New Roman"/>
                <w:b w:val="0"/>
                <w:i w:val="0"/>
                <w:sz w:val="18"/>
              </w:rPr>
              <w:t>NĐ 181/2025 Điều 26.2.i; TT 20/2026 Điều 3.13.b</w:t>
            </w:r>
          </w:p>
        </w:tc>
        <w:tc>
          <w:tcPr>
            <w:tcW w:type="dxa" w:w="2381"/>
          </w:tcPr>
          <w:p>
            <w:r>
              <w:rPr>
                <w:rFonts w:ascii="Times New Roman" w:hAnsi="Times New Roman"/>
                <w:b w:val="0"/>
                <w:i w:val="0"/>
                <w:sz w:val="18"/>
              </w:rPr>
              <w:t>04 (bảng kiểm)</w:t>
            </w:r>
          </w:p>
        </w:tc>
      </w:tr>
      <w:tr>
        <w:tc>
          <w:tcPr>
            <w:tcW w:type="dxa" w:w="3288"/>
          </w:tcPr>
          <w:p>
            <w:r>
              <w:rPr>
                <w:rFonts w:ascii="Times New Roman" w:hAnsi="Times New Roman"/>
                <w:b w:val="0"/>
                <w:i w:val="0"/>
                <w:sz w:val="18"/>
              </w:rPr>
              <w:t>Chứng từ công ty thanh toán lại cho nhân viên (không dùng tiền mặt)</w:t>
            </w:r>
          </w:p>
        </w:tc>
        <w:tc>
          <w:tcPr>
            <w:tcW w:type="dxa" w:w="3969"/>
          </w:tcPr>
          <w:p>
            <w:r>
              <w:rPr>
                <w:rFonts w:ascii="Times New Roman" w:hAnsi="Times New Roman"/>
                <w:b w:val="0"/>
                <w:i w:val="0"/>
                <w:sz w:val="18"/>
              </w:rPr>
              <w:t>NĐ 181/2025 Điều 26.2.i; TT 20/2026 Điều 3.13.b</w:t>
            </w:r>
          </w:p>
        </w:tc>
        <w:tc>
          <w:tcPr>
            <w:tcW w:type="dxa" w:w="2381"/>
          </w:tcPr>
          <w:p>
            <w:r>
              <w:rPr>
                <w:rFonts w:ascii="Times New Roman" w:hAnsi="Times New Roman"/>
                <w:b w:val="0"/>
                <w:i w:val="0"/>
                <w:sz w:val="18"/>
              </w:rPr>
              <w:t>01, 04</w:t>
            </w:r>
          </w:p>
        </w:tc>
      </w:tr>
      <w:tr>
        <w:tc>
          <w:tcPr>
            <w:tcW w:type="dxa" w:w="3288"/>
          </w:tcPr>
          <w:p>
            <w:r>
              <w:rPr>
                <w:rFonts w:ascii="Times New Roman" w:hAnsi="Times New Roman"/>
                <w:b w:val="0"/>
                <w:i w:val="0"/>
                <w:sz w:val="18"/>
              </w:rPr>
              <w:t>Ngưỡng từ 5 triệu đồng (giá đã gồm thuế GTGT), áp dụng cho cả GTGT và TNDN; cộng dồn trong ngày cùng nhà cung cấp</w:t>
            </w:r>
          </w:p>
        </w:tc>
        <w:tc>
          <w:tcPr>
            <w:tcW w:type="dxa" w:w="3969"/>
          </w:tcPr>
          <w:p>
            <w:r>
              <w:rPr>
                <w:rFonts w:ascii="Times New Roman" w:hAnsi="Times New Roman"/>
                <w:b w:val="0"/>
                <w:i w:val="0"/>
                <w:sz w:val="18"/>
              </w:rPr>
              <w:t>NĐ 181/2025 Điều 26 và khoản 3; NĐ 320/2025 Điều 9.1.c, c1</w:t>
            </w:r>
          </w:p>
        </w:tc>
        <w:tc>
          <w:tcPr>
            <w:tcW w:type="dxa" w:w="2381"/>
          </w:tcPr>
          <w:p>
            <w:r>
              <w:rPr>
                <w:rFonts w:ascii="Times New Roman" w:hAnsi="Times New Roman"/>
                <w:b w:val="0"/>
                <w:i w:val="0"/>
                <w:sz w:val="18"/>
              </w:rPr>
              <w:t>04 (cột "Mức yêu cầu")</w:t>
            </w:r>
          </w:p>
        </w:tc>
      </w:tr>
      <w:tr>
        <w:tc>
          <w:tcPr>
            <w:tcW w:type="dxa" w:w="3288"/>
          </w:tcPr>
          <w:p>
            <w:r>
              <w:rPr>
                <w:rFonts w:ascii="Times New Roman" w:hAnsi="Times New Roman"/>
                <w:b w:val="0"/>
                <w:i w:val="0"/>
                <w:sz w:val="18"/>
              </w:rPr>
              <w:t>Tạm ứng cho người lao động, bảng thanh toán tạm ứng kèm chứng từ gốc</w:t>
            </w:r>
          </w:p>
        </w:tc>
        <w:tc>
          <w:tcPr>
            <w:tcW w:type="dxa" w:w="3969"/>
          </w:tcPr>
          <w:p>
            <w:r>
              <w:rPr>
                <w:rFonts w:ascii="Times New Roman" w:hAnsi="Times New Roman"/>
                <w:b w:val="0"/>
                <w:i w:val="0"/>
                <w:sz w:val="18"/>
              </w:rPr>
              <w:t>Thông tư 99/2025/TT-BTC, tài khoản 141</w:t>
            </w:r>
          </w:p>
        </w:tc>
        <w:tc>
          <w:tcPr>
            <w:tcW w:type="dxa" w:w="2381"/>
          </w:tcPr>
          <w:p>
            <w:r>
              <w:rPr>
                <w:rFonts w:ascii="Times New Roman" w:hAnsi="Times New Roman"/>
                <w:b w:val="0"/>
                <w:i w:val="0"/>
                <w:sz w:val="18"/>
              </w:rPr>
              <w:t>03, 04 (trang tạm ứng)</w:t>
            </w:r>
          </w:p>
        </w:tc>
      </w:tr>
      <w:tr>
        <w:tc>
          <w:tcPr>
            <w:tcW w:type="dxa" w:w="3288"/>
          </w:tcPr>
          <w:p>
            <w:r>
              <w:rPr>
                <w:rFonts w:ascii="Times New Roman" w:hAnsi="Times New Roman"/>
                <w:b w:val="0"/>
                <w:i w:val="0"/>
                <w:sz w:val="18"/>
              </w:rPr>
              <w:t>Không mượn tài khoản của người khác</w:t>
            </w:r>
          </w:p>
        </w:tc>
        <w:tc>
          <w:tcPr>
            <w:tcW w:type="dxa" w:w="3969"/>
          </w:tcPr>
          <w:p>
            <w:r>
              <w:rPr>
                <w:rFonts w:ascii="Times New Roman" w:hAnsi="Times New Roman"/>
                <w:b w:val="0"/>
                <w:i w:val="0"/>
                <w:sz w:val="18"/>
              </w:rPr>
              <w:t>Nghị định 52/2024 Điều 8 khoản 5</w:t>
            </w:r>
          </w:p>
        </w:tc>
        <w:tc>
          <w:tcPr>
            <w:tcW w:type="dxa" w:w="2381"/>
          </w:tcPr>
          <w:p>
            <w:r>
              <w:rPr>
                <w:rFonts w:ascii="Times New Roman" w:hAnsi="Times New Roman"/>
                <w:b w:val="0"/>
                <w:i w:val="0"/>
                <w:sz w:val="18"/>
              </w:rPr>
              <w:t>01 Điều 4, 02</w:t>
            </w:r>
          </w:p>
        </w:tc>
      </w:tr>
    </w:tbl>
    <w:p>
      <w:pPr>
        <w:spacing w:before="160"/>
      </w:pPr>
      <w:r>
        <w:rPr>
          <w:rFonts w:ascii="Arial" w:hAnsi="Arial"/>
          <w:b/>
          <w:sz w:val="22"/>
        </w:rPr>
        <w:t>4. Chỗ quy định chưa nói rõ</w:t>
      </w:r>
    </w:p>
    <w:p>
      <w:pPr>
        <w:spacing w:after="20"/>
      </w:pPr>
      <w:r>
        <w:rPr>
          <w:rFonts w:ascii="Times New Roman" w:hAnsi="Times New Roman"/>
          <w:b w:val="0"/>
          <w:i w:val="0"/>
          <w:sz w:val="20"/>
        </w:rPr>
        <w:t>• Tạm ứng trước: quy định chỉ nêu trường hợp người lao động thanh toán rồi công ty thanh toán lại. Trường hợp công ty chuyển tiền tạm ứng trước, cả hai chặng đều không dùng tiền mặt, nhưng chưa có văn bản hướng dẫn riêng. Điều 6 trong file 01 là điều tùy chọn; nên quy định rõ trong quy chế.</w:t>
      </w:r>
    </w:p>
    <w:p>
      <w:pPr>
        <w:spacing w:after="20"/>
      </w:pPr>
      <w:r>
        <w:rPr>
          <w:rFonts w:ascii="Times New Roman" w:hAnsi="Times New Roman"/>
          <w:b w:val="0"/>
          <w:i w:val="0"/>
          <w:sz w:val="20"/>
        </w:rPr>
        <w:t>• Thời điểm ban hành quy chế: văn bản không nêu. Nên ban hành trước khi phát sinh thanh toán hộ.</w:t>
      </w:r>
    </w:p>
    <w:p>
      <w:pPr>
        <w:spacing w:before="160"/>
      </w:pPr>
      <w:r>
        <w:rPr>
          <w:rFonts w:ascii="Arial" w:hAnsi="Arial"/>
          <w:b/>
          <w:sz w:val="22"/>
        </w:rPr>
        <w:t>5. Lưu ý khi dùng</w:t>
      </w:r>
    </w:p>
    <w:p>
      <w:pPr>
        <w:spacing w:after="20"/>
      </w:pPr>
      <w:r>
        <w:rPr>
          <w:rFonts w:ascii="Times New Roman" w:hAnsi="Times New Roman"/>
          <w:b w:val="0"/>
          <w:i w:val="0"/>
          <w:sz w:val="20"/>
        </w:rPr>
        <w:t>• Các chỗ được tô vàng là chỗ cần điền; xóa dòng chân trang "Mẫu tham khảo do TRÍ TÍN biên soạn…" trong mọi file trước khi dùng chính thức.</w:t>
      </w:r>
    </w:p>
    <w:p>
      <w:pPr>
        <w:spacing w:after="20"/>
      </w:pPr>
      <w:r>
        <w:rPr>
          <w:rFonts w:ascii="Times New Roman" w:hAnsi="Times New Roman"/>
          <w:b w:val="0"/>
          <w:i w:val="0"/>
          <w:sz w:val="20"/>
        </w:rPr>
        <w:t>• Bộ mẫu là tài liệu tham khảo, không phải văn bản pháp luật và không thay thế tư vấn cho trường hợp cụ thể. Mỗi doanh nghiệp cần điều chỉnh theo quy chế, cơ cấu và hợp đồng của mình; cần tư vấn thì liên hệ chuyên viên TRÍ TÍN.</w:t>
      </w:r>
    </w:p>
    <w:p>
      <w:pPr>
        <w:spacing w:after="20"/>
      </w:pPr>
      <w:r>
        <w:rPr>
          <w:rFonts w:ascii="Times New Roman" w:hAnsi="Times New Roman"/>
          <w:b w:val="0"/>
          <w:i w:val="0"/>
          <w:sz w:val="20"/>
        </w:rPr>
        <w:t>• Việc kê khai, khấu trừ thuế vẫn do doanh nghiệp chịu trách nhiệm theo quy định tại thời điểm thực hiện.</w:t>
      </w:r>
    </w:p>
    <w:sectPr w:rsidR="00FC693F" w:rsidRPr="0006063C" w:rsidSect="00034616">
      <w:footerReference w:type="default" r:id="rId9"/>
      <w:pgSz w:w="11906" w:h="16838"/>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color w:val="808080"/>
        <w:sz w:val="16"/>
      </w:rPr>
      <w:t>Mẫu tham khảo do TRÍ TÍN biên soạn, rà soát theo quy định đến ngày 21/10/2026. Xóa dòng này khi sử dụng. Hotline/Zalo 0901 305 405 · www.tritinconsulting.com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76" w:lineRule="auto"/>
    </w:pPr>
    <w:rPr>
      <w:rFonts w:ascii="Arial" w:hAnsi="Arial" w:eastAsia="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