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535"/>
        <w:gridCol w:w="4535"/>
      </w:tblGrid>
      <w:tr>
        <w:tc>
          <w:tcPr>
            <w:tcW w:type="dxa" w:w="3969"/>
          </w:tcPr>
          <w:p>
            <w:pPr>
              <w:jc w:val="center"/>
            </w:pPr>
            <w:r>
              <w:rPr>
                <w:rFonts w:ascii="Times New Roman" w:hAnsi="Times New Roman"/>
                <w:b/>
                <w:i w:val="0"/>
                <w:sz w:val="24"/>
                <w:highlight w:val="yellow"/>
              </w:rPr>
              <w:t>[TÊN CÔNG TY]</w:t>
            </w:r>
          </w:p>
          <w:p>
            <w:pPr>
              <w:jc w:val="center"/>
            </w:pPr>
            <w:r>
              <w:rPr>
                <w:rFonts w:ascii="Times New Roman" w:hAnsi="Times New Roman"/>
                <w:b w:val="0"/>
                <w:i w:val="0"/>
                <w:sz w:val="24"/>
              </w:rPr>
              <w:t xml:space="preserve">Số: </w:t>
            </w:r>
            <w:r>
              <w:rPr>
                <w:rFonts w:ascii="Times New Roman" w:hAnsi="Times New Roman"/>
                <w:b w:val="0"/>
                <w:i w:val="0"/>
                <w:sz w:val="24"/>
                <w:highlight w:val="yellow"/>
              </w:rPr>
              <w:t>[   ]</w:t>
            </w:r>
            <w:r>
              <w:rPr>
                <w:rFonts w:ascii="Times New Roman" w:hAnsi="Times New Roman"/>
                <w:b w:val="0"/>
                <w:i w:val="0"/>
                <w:sz w:val="24"/>
              </w:rPr>
              <w:t>/</w:t>
            </w:r>
            <w:r>
              <w:rPr>
                <w:rFonts w:ascii="Times New Roman" w:hAnsi="Times New Roman"/>
                <w:b w:val="0"/>
                <w:i w:val="0"/>
                <w:sz w:val="24"/>
                <w:highlight w:val="yellow"/>
              </w:rPr>
              <w:t>[   ]</w:t>
            </w:r>
          </w:p>
        </w:tc>
        <w:tc>
          <w:tcPr>
            <w:tcW w:type="dxa" w:w="5669"/>
          </w:tcPr>
          <w:p>
            <w:pPr>
              <w:jc w:val="center"/>
            </w:pPr>
            <w:r>
              <w:rPr>
                <w:rFonts w:ascii="Times New Roman" w:hAnsi="Times New Roman"/>
                <w:b/>
                <w:i w:val="0"/>
                <w:sz w:val="24"/>
              </w:rPr>
              <w:t>CỘNG HÒA XÃ HỘI CHỦ NGHĨA VIỆT NAM</w:t>
            </w:r>
          </w:p>
          <w:p>
            <w:pPr>
              <w:jc w:val="center"/>
            </w:pPr>
            <w:r>
              <w:rPr>
                <w:rFonts w:ascii="Times New Roman" w:hAnsi="Times New Roman"/>
                <w:b/>
                <w:i w:val="0"/>
                <w:sz w:val="24"/>
              </w:rPr>
              <w:t>Độc lập - Tự do - Hạnh phúc</w:t>
            </w:r>
          </w:p>
          <w:p>
            <w:pPr>
              <w:jc w:val="center"/>
            </w:pPr>
            <w:r>
              <w:rPr>
                <w:rFonts w:ascii="Times New Roman" w:hAnsi="Times New Roman"/>
                <w:b w:val="0"/>
                <w:i/>
                <w:sz w:val="24"/>
                <w:highlight w:val="yellow"/>
              </w:rPr>
              <w:t>[Địa danh]</w:t>
            </w:r>
            <w:r>
              <w:rPr>
                <w:rFonts w:ascii="Times New Roman" w:hAnsi="Times New Roman"/>
                <w:b w:val="0"/>
                <w:i/>
                <w:sz w:val="24"/>
              </w:rPr>
              <w:t xml:space="preserve">, ngày </w:t>
            </w:r>
            <w:r>
              <w:rPr>
                <w:rFonts w:ascii="Times New Roman" w:hAnsi="Times New Roman"/>
                <w:b w:val="0"/>
                <w:i/>
                <w:sz w:val="24"/>
                <w:highlight w:val="yellow"/>
              </w:rPr>
              <w:t>[  ]</w:t>
            </w:r>
            <w:r>
              <w:rPr>
                <w:rFonts w:ascii="Times New Roman" w:hAnsi="Times New Roman"/>
                <w:b w:val="0"/>
                <w:i/>
                <w:sz w:val="24"/>
              </w:rPr>
              <w:t xml:space="preserve"> tháng </w:t>
            </w:r>
            <w:r>
              <w:rPr>
                <w:rFonts w:ascii="Times New Roman" w:hAnsi="Times New Roman"/>
                <w:b w:val="0"/>
                <w:i/>
                <w:sz w:val="24"/>
                <w:highlight w:val="yellow"/>
              </w:rPr>
              <w:t>[  ]</w:t>
            </w:r>
            <w:r>
              <w:rPr>
                <w:rFonts w:ascii="Times New Roman" w:hAnsi="Times New Roman"/>
                <w:b w:val="0"/>
                <w:i/>
                <w:sz w:val="24"/>
              </w:rPr>
              <w:t xml:space="preserve"> năm </w:t>
            </w:r>
            <w:r>
              <w:rPr>
                <w:rFonts w:ascii="Times New Roman" w:hAnsi="Times New Roman"/>
                <w:b w:val="0"/>
                <w:i/>
                <w:sz w:val="24"/>
                <w:highlight w:val="yellow"/>
              </w:rPr>
              <w:t>[    ]</w:t>
            </w:r>
          </w:p>
        </w:tc>
      </w:tr>
    </w:tbl>
    <w:p/>
    <w:p>
      <w:pPr>
        <w:spacing w:after="0"/>
        <w:jc w:val="center"/>
      </w:pPr>
      <w:r>
        <w:rPr>
          <w:rFonts w:ascii="Times New Roman" w:hAnsi="Times New Roman"/>
          <w:b/>
          <w:i w:val="0"/>
          <w:sz w:val="28"/>
        </w:rPr>
        <w:t>QUYẾT ĐỊNH</w:t>
      </w:r>
    </w:p>
    <w:p>
      <w:pPr>
        <w:jc w:val="center"/>
      </w:pPr>
      <w:r>
        <w:rPr>
          <w:rFonts w:ascii="Times New Roman" w:hAnsi="Times New Roman"/>
          <w:b/>
          <w:i w:val="0"/>
        </w:rPr>
        <w:t>Về việc ban hành Quy chế ủy quyền cho người lao động thanh toán hộ hàng hóa, dịch vụ và tạm ứng</w:t>
      </w:r>
    </w:p>
    <w:p>
      <w:pPr>
        <w:jc w:val="center"/>
      </w:pPr>
      <w:r>
        <w:rPr>
          <w:rFonts w:ascii="Times New Roman" w:hAnsi="Times New Roman"/>
          <w:b/>
          <w:i w:val="0"/>
        </w:rPr>
        <w:t xml:space="preserve">GIÁM ĐỐC </w:t>
      </w:r>
      <w:r>
        <w:rPr>
          <w:rFonts w:ascii="Times New Roman" w:hAnsi="Times New Roman"/>
          <w:b/>
          <w:i w:val="0"/>
          <w:highlight w:val="yellow"/>
        </w:rPr>
        <w:t>[TÊN CÔNG TY]</w:t>
      </w:r>
    </w:p>
    <w:p>
      <w:pPr>
        <w:ind w:firstLine="567"/>
      </w:pPr>
      <w:r>
        <w:rPr>
          <w:rFonts w:ascii="Times New Roman" w:hAnsi="Times New Roman"/>
          <w:b w:val="0"/>
          <w:i w:val="0"/>
        </w:rPr>
        <w:t>Căn cứ Điều lệ công ty và nhu cầu quản lý nội bộ;</w:t>
      </w:r>
    </w:p>
    <w:p>
      <w:pPr>
        <w:ind w:firstLine="567"/>
      </w:pPr>
      <w:r>
        <w:rPr>
          <w:rFonts w:ascii="Times New Roman" w:hAnsi="Times New Roman"/>
          <w:b w:val="0"/>
          <w:i w:val="0"/>
        </w:rPr>
        <w:t>Căn cứ Luật Thuế giá trị gia tăng số 48/2024/QH15; Nghị định 181/2025/NĐ-CP (Điều 26 khoản 2 điểm i);</w:t>
      </w:r>
    </w:p>
    <w:p>
      <w:pPr>
        <w:ind w:firstLine="567"/>
      </w:pPr>
      <w:r>
        <w:rPr>
          <w:rFonts w:ascii="Times New Roman" w:hAnsi="Times New Roman"/>
          <w:b w:val="0"/>
          <w:i w:val="0"/>
        </w:rPr>
        <w:t>Căn cứ Luật Thuế thu nhập doanh nghiệp số 67/2025/QH15; Nghị định 320/2025/NĐ-CP (Điều 9 khoản 1 điểm c2); Thông tư 20/2026/TT-BTC (Điều 3 khoản 13 điểm b); Nghị định 52/2024/NĐ-CP.</w:t>
      </w:r>
    </w:p>
    <w:p>
      <w:pPr>
        <w:jc w:val="center"/>
      </w:pPr>
      <w:r>
        <w:rPr>
          <w:rFonts w:ascii="Times New Roman" w:hAnsi="Times New Roman"/>
          <w:b/>
          <w:i w:val="0"/>
        </w:rPr>
        <w:t>QUYẾT ĐỊNH:</w:t>
      </w:r>
    </w:p>
    <w:p>
      <w:pPr>
        <w:ind w:firstLine="567"/>
      </w:pPr>
      <w:r>
        <w:rPr>
          <w:rFonts w:ascii="Times New Roman" w:hAnsi="Times New Roman"/>
          <w:b w:val="0"/>
          <w:i w:val="0"/>
        </w:rPr>
        <w:t xml:space="preserve">Điều 1. Ban hành kèm theo Quyết định này Quy chế ủy quyền cho người lao động thanh toán hộ hàng hóa, dịch vụ và tạm ứng của </w:t>
      </w:r>
      <w:r>
        <w:rPr>
          <w:rFonts w:ascii="Times New Roman" w:hAnsi="Times New Roman"/>
          <w:b w:val="0"/>
          <w:i w:val="0"/>
          <w:highlight w:val="yellow"/>
        </w:rPr>
        <w:t>[TÊN CÔNG TY]</w:t>
      </w:r>
      <w:r>
        <w:rPr>
          <w:rFonts w:ascii="Times New Roman" w:hAnsi="Times New Roman"/>
          <w:b w:val="0"/>
          <w:i w:val="0"/>
        </w:rPr>
        <w:t>.</w:t>
      </w:r>
    </w:p>
    <w:p>
      <w:pPr>
        <w:ind w:firstLine="567"/>
      </w:pPr>
      <w:r>
        <w:rPr>
          <w:rFonts w:ascii="Times New Roman" w:hAnsi="Times New Roman"/>
          <w:b w:val="0"/>
          <w:i w:val="0"/>
        </w:rPr>
        <w:t xml:space="preserve">Điều 2. Quyết định có hiệu lực từ ngày </w:t>
      </w:r>
      <w:r>
        <w:rPr>
          <w:rFonts w:ascii="Times New Roman" w:hAnsi="Times New Roman"/>
          <w:b w:val="0"/>
          <w:i w:val="0"/>
          <w:highlight w:val="yellow"/>
        </w:rPr>
        <w:t>[  /  /    ]</w:t>
      </w:r>
      <w:r>
        <w:rPr>
          <w:rFonts w:ascii="Times New Roman" w:hAnsi="Times New Roman"/>
          <w:b w:val="0"/>
          <w:i w:val="0"/>
        </w:rPr>
        <w:t>. Các bộ phận, người lao động và Phòng Kế toán chịu trách nhiệm thi hành.</w:t>
      </w:r>
    </w:p>
    <w:p>
      <w:r>
        <w:rPr>
          <w:rFonts w:ascii="Times New Roman" w:hAnsi="Times New Roman"/>
          <w:b w:val="0"/>
          <w:i/>
          <w:sz w:val="22"/>
        </w:rPr>
        <w:t xml:space="preserve">Nơi nhận: </w:t>
      </w:r>
      <w:r>
        <w:rPr>
          <w:rFonts w:ascii="Times New Roman" w:hAnsi="Times New Roman"/>
          <w:b w:val="0"/>
          <w:i/>
          <w:sz w:val="22"/>
          <w:highlight w:val="yellow"/>
        </w:rPr>
        <w:t>[Các bộ phận liên quan]</w:t>
      </w:r>
      <w:r>
        <w:rPr>
          <w:rFonts w:ascii="Times New Roman" w:hAnsi="Times New Roman"/>
          <w:b w:val="0"/>
          <w:i/>
          <w:sz w:val="22"/>
        </w:rPr>
        <w:t xml:space="preserve">; </w:t>
      </w:r>
      <w:r>
        <w:rPr>
          <w:rFonts w:ascii="Times New Roman" w:hAnsi="Times New Roman"/>
          <w:b w:val="0"/>
          <w:i/>
          <w:sz w:val="22"/>
          <w:highlight w:val="yellow"/>
        </w:rPr>
        <w:t>[Lưu hồ sơ]</w:t>
      </w:r>
      <w:r>
        <w:rPr>
          <w:rFonts w:ascii="Times New Roman" w:hAnsi="Times New Roman"/>
          <w:b w:val="0"/>
          <w:i/>
          <w:sz w:val="22"/>
        </w:rPr>
        <w:t>.</w:t>
      </w:r>
    </w:p>
    <w:p>
      <w:pPr>
        <w:spacing w:after="0"/>
        <w:jc w:val="right"/>
      </w:pPr>
      <w:r>
        <w:rPr>
          <w:rFonts w:ascii="Times New Roman" w:hAnsi="Times New Roman"/>
          <w:b/>
          <w:i w:val="0"/>
        </w:rPr>
        <w:t>GIÁM ĐỐC</w:t>
      </w:r>
    </w:p>
    <w:p>
      <w:pPr>
        <w:jc w:val="right"/>
      </w:pPr>
      <w:r>
        <w:rPr>
          <w:rFonts w:ascii="Times New Roman" w:hAnsi="Times New Roman"/>
          <w:b w:val="0"/>
          <w:i/>
          <w:sz w:val="22"/>
        </w:rPr>
        <w:t>(Ký, ghi rõ họ tên, đóng dấu)</w:t>
      </w:r>
    </w:p>
    <w:p>
      <w:r>
        <w:br w:type="page"/>
      </w:r>
    </w:p>
    <w:p>
      <w:pPr>
        <w:spacing w:after="0"/>
        <w:jc w:val="center"/>
      </w:pPr>
      <w:r>
        <w:rPr>
          <w:rFonts w:ascii="Times New Roman" w:hAnsi="Times New Roman"/>
          <w:b/>
          <w:i w:val="0"/>
          <w:highlight w:val="yellow"/>
        </w:rPr>
        <w:t>[TÊN CÔNG TY]</w:t>
      </w:r>
    </w:p>
    <w:p>
      <w:pPr>
        <w:spacing w:after="0"/>
        <w:jc w:val="center"/>
      </w:pPr>
      <w:r>
        <w:rPr>
          <w:rFonts w:ascii="Times New Roman" w:hAnsi="Times New Roman"/>
          <w:b/>
          <w:i w:val="0"/>
          <w:sz w:val="28"/>
        </w:rPr>
        <w:t>QUY CHẾ</w:t>
      </w:r>
    </w:p>
    <w:p>
      <w:pPr>
        <w:spacing w:after="0"/>
        <w:jc w:val="center"/>
      </w:pPr>
      <w:r>
        <w:rPr>
          <w:rFonts w:ascii="Times New Roman" w:hAnsi="Times New Roman"/>
          <w:b/>
          <w:i w:val="0"/>
        </w:rPr>
        <w:t>Ủy quyền cho người lao động thanh toán hộ hàng hóa, dịch vụ và tạm ứng</w:t>
      </w:r>
    </w:p>
    <w:p>
      <w:pPr>
        <w:jc w:val="center"/>
      </w:pPr>
      <w:r>
        <w:rPr>
          <w:rFonts w:ascii="Times New Roman" w:hAnsi="Times New Roman"/>
          <w:b w:val="0"/>
          <w:i/>
        </w:rPr>
        <w:t xml:space="preserve">(Ban hành kèm Quyết định số </w:t>
      </w:r>
      <w:r>
        <w:rPr>
          <w:rFonts w:ascii="Times New Roman" w:hAnsi="Times New Roman"/>
          <w:b w:val="0"/>
          <w:i/>
          <w:highlight w:val="yellow"/>
        </w:rPr>
        <w:t>[   ]</w:t>
      </w:r>
      <w:r>
        <w:rPr>
          <w:rFonts w:ascii="Times New Roman" w:hAnsi="Times New Roman"/>
          <w:b w:val="0"/>
          <w:i/>
        </w:rPr>
        <w:t xml:space="preserve"> ngày </w:t>
      </w:r>
      <w:r>
        <w:rPr>
          <w:rFonts w:ascii="Times New Roman" w:hAnsi="Times New Roman"/>
          <w:b w:val="0"/>
          <w:i/>
          <w:highlight w:val="yellow"/>
        </w:rPr>
        <w:t>[  /  /    ]</w:t>
      </w:r>
      <w:r>
        <w:rPr>
          <w:rFonts w:ascii="Times New Roman" w:hAnsi="Times New Roman"/>
          <w:b w:val="0"/>
          <w:i/>
        </w:rPr>
        <w:t>)</w:t>
      </w:r>
    </w:p>
    <w:p>
      <w:pPr>
        <w:spacing w:after="40"/>
      </w:pPr>
      <w:r>
        <w:rPr>
          <w:rFonts w:ascii="Times New Roman" w:hAnsi="Times New Roman"/>
          <w:b/>
          <w:i w:val="0"/>
        </w:rPr>
        <w:t>Điều 1. Phạm vi áp dụng</w:t>
      </w:r>
    </w:p>
    <w:p>
      <w:pPr>
        <w:ind w:firstLine="454"/>
      </w:pPr>
      <w:r>
        <w:rPr>
          <w:rFonts w:ascii="Times New Roman" w:hAnsi="Times New Roman"/>
          <w:b w:val="0"/>
          <w:i w:val="0"/>
        </w:rPr>
        <w:t>1. Quy chế áp dụng khi người lao động của công ty thanh toán hộ hàng hóa, dịch vụ phục vụ hoạt động sản xuất, kinh doanh chịu thuế giá trị gia tăng của công ty, bằng hình thức không dùng tiền mặt.</w:t>
      </w:r>
    </w:p>
    <w:p>
      <w:pPr>
        <w:ind w:firstLine="454"/>
      </w:pPr>
      <w:r>
        <w:rPr>
          <w:rFonts w:ascii="Times New Roman" w:hAnsi="Times New Roman"/>
          <w:b w:val="0"/>
          <w:i w:val="0"/>
        </w:rPr>
        <w:t xml:space="preserve">2. Quy chế áp dụng bắt buộc với hóa đơn có giá trị từ 5.000.000 đồng trở lên (đã gồm thuế giá trị gia tăng). Công ty </w:t>
      </w:r>
      <w:r>
        <w:rPr>
          <w:rFonts w:ascii="Times New Roman" w:hAnsi="Times New Roman"/>
          <w:b w:val="0"/>
          <w:i w:val="0"/>
          <w:highlight w:val="yellow"/>
        </w:rPr>
        <w:t>[có / không]</w:t>
      </w:r>
      <w:r>
        <w:rPr>
          <w:rFonts w:ascii="Times New Roman" w:hAnsi="Times New Roman"/>
          <w:b w:val="0"/>
          <w:i w:val="0"/>
        </w:rPr>
        <w:t xml:space="preserve"> áp dụng cho các hóa đơn dưới mức này.</w:t>
      </w:r>
    </w:p>
    <w:p>
      <w:pPr>
        <w:spacing w:after="40"/>
      </w:pPr>
      <w:r>
        <w:rPr>
          <w:rFonts w:ascii="Times New Roman" w:hAnsi="Times New Roman"/>
          <w:b/>
          <w:i w:val="0"/>
        </w:rPr>
        <w:t>Điều 2. Người được thanh toán hộ</w:t>
      </w:r>
    </w:p>
    <w:p>
      <w:pPr>
        <w:ind w:firstLine="454"/>
      </w:pPr>
      <w:r>
        <w:rPr>
          <w:rFonts w:ascii="Times New Roman" w:hAnsi="Times New Roman"/>
          <w:b w:val="0"/>
          <w:i w:val="0"/>
        </w:rPr>
        <w:t>1. Là người lao động đang làm việc theo hợp đồng lao động với công ty, được Giám đốc cho phép bằng Giấy ủy quyền thanh toán (Mẫu 02).</w:t>
      </w:r>
    </w:p>
    <w:p>
      <w:pPr>
        <w:ind w:firstLine="454"/>
      </w:pPr>
      <w:r>
        <w:rPr>
          <w:rFonts w:ascii="Times New Roman" w:hAnsi="Times New Roman"/>
          <w:b w:val="0"/>
          <w:i w:val="0"/>
        </w:rPr>
        <w:t xml:space="preserve">2. Danh sách người được ủy quyền thường xuyên: </w:t>
      </w:r>
      <w:r>
        <w:rPr>
          <w:rFonts w:ascii="Times New Roman" w:hAnsi="Times New Roman"/>
          <w:b w:val="0"/>
          <w:i w:val="0"/>
          <w:highlight w:val="yellow"/>
        </w:rPr>
        <w:t>[họ tên, bộ phận]</w:t>
      </w:r>
      <w:r>
        <w:rPr>
          <w:rFonts w:ascii="Times New Roman" w:hAnsi="Times New Roman"/>
          <w:b w:val="0"/>
          <w:i w:val="0"/>
        </w:rPr>
        <w:t>.</w:t>
      </w:r>
    </w:p>
    <w:p>
      <w:pPr>
        <w:spacing w:after="40"/>
      </w:pPr>
      <w:r>
        <w:rPr>
          <w:rFonts w:ascii="Times New Roman" w:hAnsi="Times New Roman"/>
          <w:b/>
          <w:i w:val="0"/>
        </w:rPr>
        <w:t>Điều 3. Điều kiện thanh toán hộ</w:t>
      </w:r>
    </w:p>
    <w:p>
      <w:pPr>
        <w:ind w:firstLine="454"/>
      </w:pPr>
      <w:r>
        <w:rPr>
          <w:rFonts w:ascii="Times New Roman" w:hAnsi="Times New Roman"/>
          <w:b w:val="0"/>
          <w:i w:val="0"/>
        </w:rPr>
        <w:t>1. Khoản mua phục vụ hoạt động sản xuất, kinh doanh của công ty.</w:t>
      </w:r>
    </w:p>
    <w:p>
      <w:pPr>
        <w:ind w:firstLine="454"/>
      </w:pPr>
      <w:r>
        <w:rPr>
          <w:rFonts w:ascii="Times New Roman" w:hAnsi="Times New Roman"/>
          <w:b w:val="0"/>
          <w:i w:val="0"/>
        </w:rPr>
        <w:t>2. Hóa đơn giá trị gia tăng ghi đúng tên, địa chỉ, mã số thuế của công ty.</w:t>
      </w:r>
    </w:p>
    <w:p>
      <w:pPr>
        <w:ind w:firstLine="454"/>
      </w:pPr>
      <w:r>
        <w:rPr>
          <w:rFonts w:ascii="Times New Roman" w:hAnsi="Times New Roman"/>
          <w:b w:val="0"/>
          <w:i w:val="0"/>
        </w:rPr>
        <w:t xml:space="preserve">3. Có Giấy đề nghị thanh toán hộ (Mẫu 03) được </w:t>
      </w:r>
      <w:r>
        <w:rPr>
          <w:rFonts w:ascii="Times New Roman" w:hAnsi="Times New Roman"/>
          <w:b w:val="0"/>
          <w:i w:val="0"/>
          <w:highlight w:val="yellow"/>
        </w:rPr>
        <w:t>[Trưởng bộ phận / Kế toán trưởng / Giám đốc]</w:t>
      </w:r>
      <w:r>
        <w:rPr>
          <w:rFonts w:ascii="Times New Roman" w:hAnsi="Times New Roman"/>
          <w:b w:val="0"/>
          <w:i w:val="0"/>
        </w:rPr>
        <w:t xml:space="preserve"> duyệt trước khi thanh toán.</w:t>
      </w:r>
    </w:p>
    <w:p>
      <w:pPr>
        <w:ind w:firstLine="454"/>
      </w:pPr>
      <w:r>
        <w:rPr>
          <w:rFonts w:ascii="Times New Roman" w:hAnsi="Times New Roman"/>
          <w:b w:val="0"/>
          <w:i w:val="0"/>
        </w:rPr>
        <w:t xml:space="preserve">4. Hạn mức mỗi lần: </w:t>
      </w:r>
      <w:r>
        <w:rPr>
          <w:rFonts w:ascii="Times New Roman" w:hAnsi="Times New Roman"/>
          <w:b w:val="0"/>
          <w:i w:val="0"/>
          <w:highlight w:val="yellow"/>
        </w:rPr>
        <w:t>[   ]</w:t>
      </w:r>
      <w:r>
        <w:rPr>
          <w:rFonts w:ascii="Times New Roman" w:hAnsi="Times New Roman"/>
          <w:b w:val="0"/>
          <w:i w:val="0"/>
        </w:rPr>
        <w:t xml:space="preserve"> đồng; mỗi tháng: </w:t>
      </w:r>
      <w:r>
        <w:rPr>
          <w:rFonts w:ascii="Times New Roman" w:hAnsi="Times New Roman"/>
          <w:b w:val="0"/>
          <w:i w:val="0"/>
          <w:highlight w:val="yellow"/>
        </w:rPr>
        <w:t>[   ]</w:t>
      </w:r>
      <w:r>
        <w:rPr>
          <w:rFonts w:ascii="Times New Roman" w:hAnsi="Times New Roman"/>
          <w:b w:val="0"/>
          <w:i w:val="0"/>
        </w:rPr>
        <w:t xml:space="preserve"> đồng.</w:t>
      </w:r>
    </w:p>
    <w:p>
      <w:pPr>
        <w:spacing w:after="40"/>
      </w:pPr>
      <w:r>
        <w:rPr>
          <w:rFonts w:ascii="Times New Roman" w:hAnsi="Times New Roman"/>
          <w:b/>
          <w:i w:val="0"/>
        </w:rPr>
        <w:t>Điều 4. Phương thức thanh toán</w:t>
      </w:r>
    </w:p>
    <w:p>
      <w:pPr>
        <w:ind w:firstLine="454"/>
      </w:pPr>
      <w:r>
        <w:rPr>
          <w:rFonts w:ascii="Times New Roman" w:hAnsi="Times New Roman"/>
          <w:b w:val="0"/>
          <w:i w:val="0"/>
        </w:rPr>
        <w:t>1. Người lao động chuyển khoản (hoặc dùng thẻ, ví điện tử) từ tài khoản do CHÍNH MÌNH đứng tên sang tài khoản của nhà cung cấp.</w:t>
      </w:r>
    </w:p>
    <w:p>
      <w:pPr>
        <w:ind w:firstLine="454"/>
      </w:pPr>
      <w:r>
        <w:rPr>
          <w:rFonts w:ascii="Times New Roman" w:hAnsi="Times New Roman"/>
          <w:b w:val="0"/>
          <w:i w:val="0"/>
        </w:rPr>
        <w:t>2. Nghiêm cấm dùng tài khoản của người khác, tài khoản mượn hoặc nộp tiền mặt vào tài khoản của nhà cung cấp.</w:t>
      </w:r>
    </w:p>
    <w:p>
      <w:pPr>
        <w:ind w:firstLine="454"/>
      </w:pPr>
      <w:r>
        <w:rPr>
          <w:rFonts w:ascii="Times New Roman" w:hAnsi="Times New Roman"/>
          <w:b w:val="0"/>
          <w:i w:val="0"/>
        </w:rPr>
        <w:t>3. Nội dung chuyển tiền ghi rõ số hóa đơn hoặc số hợp đồng.</w:t>
      </w:r>
    </w:p>
    <w:p>
      <w:pPr>
        <w:spacing w:after="40"/>
      </w:pPr>
      <w:r>
        <w:rPr>
          <w:rFonts w:ascii="Times New Roman" w:hAnsi="Times New Roman"/>
          <w:b/>
          <w:i w:val="0"/>
        </w:rPr>
        <w:t>Điều 5. Công ty thanh toán lại cho người lao động</w:t>
      </w:r>
    </w:p>
    <w:p>
      <w:pPr>
        <w:ind w:firstLine="454"/>
      </w:pPr>
      <w:r>
        <w:rPr>
          <w:rFonts w:ascii="Times New Roman" w:hAnsi="Times New Roman"/>
          <w:b w:val="0"/>
          <w:i w:val="0"/>
        </w:rPr>
        <w:t xml:space="preserve">1. Công ty chuyển khoản vào tài khoản của người lao động trong </w:t>
      </w:r>
      <w:r>
        <w:rPr>
          <w:rFonts w:ascii="Times New Roman" w:hAnsi="Times New Roman"/>
          <w:b w:val="0"/>
          <w:i w:val="0"/>
          <w:highlight w:val="yellow"/>
        </w:rPr>
        <w:t>[  ]</w:t>
      </w:r>
      <w:r>
        <w:rPr>
          <w:rFonts w:ascii="Times New Roman" w:hAnsi="Times New Roman"/>
          <w:b w:val="0"/>
          <w:i w:val="0"/>
        </w:rPr>
        <w:t xml:space="preserve"> ngày làm việc kể từ khi nộp đủ hồ sơ (Điều 7).</w:t>
      </w:r>
    </w:p>
    <w:p>
      <w:pPr>
        <w:ind w:firstLine="454"/>
      </w:pPr>
      <w:r>
        <w:rPr>
          <w:rFonts w:ascii="Times New Roman" w:hAnsi="Times New Roman"/>
          <w:b w:val="0"/>
          <w:i w:val="0"/>
        </w:rPr>
        <w:t>2. Công ty không thanh toán lại bằng tiền mặt.</w:t>
      </w:r>
    </w:p>
    <w:p>
      <w:pPr>
        <w:spacing w:after="40"/>
      </w:pPr>
      <w:r>
        <w:rPr>
          <w:rFonts w:ascii="Times New Roman" w:hAnsi="Times New Roman"/>
          <w:b/>
          <w:i w:val="0"/>
        </w:rPr>
        <w:t xml:space="preserve">Điều 6. Tạm ứng </w:t>
      </w:r>
      <w:r>
        <w:rPr>
          <w:rFonts w:ascii="Times New Roman" w:hAnsi="Times New Roman"/>
          <w:b/>
          <w:i w:val="0"/>
          <w:highlight w:val="yellow"/>
        </w:rPr>
        <w:t>[ĐIỀU TÙY CHỌN: xóa nếu công ty không tạm ứng trước]</w:t>
      </w:r>
    </w:p>
    <w:p>
      <w:pPr>
        <w:ind w:firstLine="454"/>
      </w:pPr>
      <w:r>
        <w:rPr>
          <w:rFonts w:ascii="Times New Roman" w:hAnsi="Times New Roman"/>
          <w:b w:val="0"/>
          <w:i w:val="0"/>
        </w:rPr>
        <w:t xml:space="preserve">1. Trường hợp người lao động không thể ứng trước, công ty chuyển khoản tạm ứng vào tài khoản của người lao động theo Giấy đề nghị được duyệt (Mẫu 03). Người lao động chuyển khoản trả nhà cung cấp trong </w:t>
      </w:r>
      <w:r>
        <w:rPr>
          <w:rFonts w:ascii="Times New Roman" w:hAnsi="Times New Roman"/>
          <w:b w:val="0"/>
          <w:i w:val="0"/>
          <w:highlight w:val="yellow"/>
        </w:rPr>
        <w:t>[  ]</w:t>
      </w:r>
      <w:r>
        <w:rPr>
          <w:rFonts w:ascii="Times New Roman" w:hAnsi="Times New Roman"/>
          <w:b w:val="0"/>
          <w:i w:val="0"/>
        </w:rPr>
        <w:t xml:space="preserve"> ngày kể từ khi nhận tạm ứng.</w:t>
      </w:r>
    </w:p>
    <w:p>
      <w:pPr>
        <w:ind w:firstLine="454"/>
      </w:pPr>
      <w:r>
        <w:rPr>
          <w:rFonts w:ascii="Times New Roman" w:hAnsi="Times New Roman"/>
          <w:b w:val="0"/>
          <w:i w:val="0"/>
        </w:rPr>
        <w:t xml:space="preserve">2. Người lao động thanh toán tạm ứng trong </w:t>
      </w:r>
      <w:r>
        <w:rPr>
          <w:rFonts w:ascii="Times New Roman" w:hAnsi="Times New Roman"/>
          <w:b w:val="0"/>
          <w:i w:val="0"/>
          <w:highlight w:val="yellow"/>
        </w:rPr>
        <w:t>[  ]</w:t>
      </w:r>
      <w:r>
        <w:rPr>
          <w:rFonts w:ascii="Times New Roman" w:hAnsi="Times New Roman"/>
          <w:b w:val="0"/>
          <w:i w:val="0"/>
        </w:rPr>
        <w:t xml:space="preserve"> ngày bằng Bảng thanh toán tạm ứng kèm chứng từ gốc; phần dùng không hết hoàn trả bằng chuyển khoản hoặc trừ vào lương.</w:t>
      </w:r>
    </w:p>
    <w:p>
      <w:pPr>
        <w:ind w:firstLine="454"/>
      </w:pPr>
      <w:r>
        <w:rPr>
          <w:rFonts w:ascii="Times New Roman" w:hAnsi="Times New Roman"/>
          <w:b w:val="0"/>
          <w:i w:val="0"/>
        </w:rPr>
        <w:t>3. Chưa thanh toán xong lần tạm ứng trước thì không được tạm ứng lần mới.</w:t>
      </w:r>
    </w:p>
    <w:p>
      <w:pPr>
        <w:ind w:firstLine="454"/>
      </w:pPr>
      <w:r>
        <w:rPr>
          <w:rFonts w:ascii="Times New Roman" w:hAnsi="Times New Roman"/>
          <w:b w:val="0"/>
          <w:i w:val="0"/>
        </w:rPr>
        <w:t>4. Lưu ý khi áp dụng: quy định về khấu trừ GTGT và chi phí thuế TNDN nêu trường hợp người lao động thanh toán rồi công ty thanh toán lại; trường hợp tạm ứng trước chưa có hướng dẫn riêng (xem Hướng dẫn sử dụng).</w:t>
      </w:r>
    </w:p>
    <w:p>
      <w:pPr>
        <w:spacing w:after="40"/>
      </w:pPr>
      <w:r>
        <w:rPr>
          <w:rFonts w:ascii="Times New Roman" w:hAnsi="Times New Roman"/>
          <w:b/>
          <w:i w:val="0"/>
        </w:rPr>
        <w:t>Điều 7. Hồ sơ người lao động phải nộp cho Phòng Kế toán</w:t>
      </w:r>
    </w:p>
    <w:p>
      <w:pPr>
        <w:ind w:firstLine="454"/>
      </w:pPr>
      <w:r>
        <w:rPr>
          <w:rFonts w:ascii="Times New Roman" w:hAnsi="Times New Roman"/>
          <w:b w:val="0"/>
          <w:i w:val="0"/>
        </w:rPr>
        <w:t>1. Hóa đơn giá trị gia tăng mang tên công ty.</w:t>
      </w:r>
    </w:p>
    <w:p>
      <w:pPr>
        <w:ind w:firstLine="454"/>
      </w:pPr>
      <w:r>
        <w:rPr>
          <w:rFonts w:ascii="Times New Roman" w:hAnsi="Times New Roman"/>
          <w:b w:val="0"/>
          <w:i w:val="0"/>
        </w:rPr>
        <w:t>2. Giấy đề nghị được duyệt (Mẫu 03) và Giấy ủy quyền (Mẫu 02), nếu có.</w:t>
      </w:r>
    </w:p>
    <w:p>
      <w:pPr>
        <w:ind w:firstLine="454"/>
      </w:pPr>
      <w:r>
        <w:rPr>
          <w:rFonts w:ascii="Times New Roman" w:hAnsi="Times New Roman"/>
          <w:b w:val="0"/>
          <w:i w:val="0"/>
        </w:rPr>
        <w:t>3. Chứng từ chuyển khoản của người lao động cho nhà cung cấp (sao kê, ủy nhiệm chi, giấy báo, ảnh chụp giao dịch có đủ người chuyển, người nhận, số tiền, nội dung, thời gian).</w:t>
      </w:r>
    </w:p>
    <w:p>
      <w:pPr>
        <w:ind w:firstLine="454"/>
      </w:pPr>
      <w:r>
        <w:rPr>
          <w:rFonts w:ascii="Times New Roman" w:hAnsi="Times New Roman"/>
          <w:b w:val="0"/>
          <w:i w:val="0"/>
        </w:rPr>
        <w:t>4. Chứng từ chuyển khoản của công ty cho người lao động (thanh toán lại hoặc tạm ứng).</w:t>
      </w:r>
    </w:p>
    <w:p>
      <w:pPr>
        <w:ind w:firstLine="454"/>
      </w:pPr>
      <w:r>
        <w:rPr>
          <w:rFonts w:ascii="Times New Roman" w:hAnsi="Times New Roman"/>
          <w:b w:val="0"/>
          <w:i w:val="0"/>
        </w:rPr>
        <w:t>5. Bảng thanh toán tạm ứng kèm chứng từ gốc (nếu tạm ứng).</w:t>
      </w:r>
    </w:p>
    <w:p>
      <w:pPr>
        <w:spacing w:after="40"/>
      </w:pPr>
      <w:r>
        <w:rPr>
          <w:rFonts w:ascii="Times New Roman" w:hAnsi="Times New Roman"/>
          <w:b/>
          <w:i w:val="0"/>
        </w:rPr>
        <w:t>Điều 8. Trách nhiệm</w:t>
      </w:r>
    </w:p>
    <w:p>
      <w:pPr>
        <w:ind w:firstLine="454"/>
      </w:pPr>
      <w:r>
        <w:rPr>
          <w:rFonts w:ascii="Times New Roman" w:hAnsi="Times New Roman"/>
          <w:b w:val="0"/>
          <w:i w:val="0"/>
        </w:rPr>
        <w:t>1. Người lao động: thanh toán đúng quy định, nộp hồ sơ đúng hạn, chịu trách nhiệm về tính trung thực của hồ sơ.</w:t>
      </w:r>
    </w:p>
    <w:p>
      <w:pPr>
        <w:ind w:firstLine="454"/>
      </w:pPr>
      <w:r>
        <w:rPr>
          <w:rFonts w:ascii="Times New Roman" w:hAnsi="Times New Roman"/>
          <w:b w:val="0"/>
          <w:i w:val="0"/>
        </w:rPr>
        <w:t>2. Kế toán: kiểm tra hồ sơ bằng Bảng kiểm, theo dõi từng người, từng hóa đơn, lưu giữ hồ sơ để cung cấp khi cơ quan thuế yêu cầu.</w:t>
      </w:r>
    </w:p>
    <w:p>
      <w:pPr>
        <w:ind w:firstLine="454"/>
      </w:pPr>
      <w:r>
        <w:rPr>
          <w:rFonts w:ascii="Times New Roman" w:hAnsi="Times New Roman"/>
          <w:b w:val="0"/>
          <w:i w:val="0"/>
        </w:rPr>
        <w:t>3. Giám đốc: phê duyệt và kiểm soát việc thực hiện.</w:t>
      </w:r>
    </w:p>
    <w:p>
      <w:pPr>
        <w:spacing w:after="40"/>
      </w:pPr>
      <w:r>
        <w:rPr>
          <w:rFonts w:ascii="Times New Roman" w:hAnsi="Times New Roman"/>
          <w:b/>
          <w:i w:val="0"/>
        </w:rPr>
        <w:t>Điều 9. Hiệu lực</w:t>
      </w:r>
    </w:p>
    <w:p>
      <w:pPr>
        <w:ind w:firstLine="454"/>
      </w:pPr>
      <w:r>
        <w:rPr>
          <w:rFonts w:ascii="Times New Roman" w:hAnsi="Times New Roman"/>
          <w:b w:val="0"/>
          <w:i w:val="0"/>
        </w:rPr>
        <w:t xml:space="preserve">1. Quy chế có hiệu lực từ ngày </w:t>
      </w:r>
      <w:r>
        <w:rPr>
          <w:rFonts w:ascii="Times New Roman" w:hAnsi="Times New Roman"/>
          <w:b w:val="0"/>
          <w:i w:val="0"/>
          <w:highlight w:val="yellow"/>
        </w:rPr>
        <w:t>[  /  /    ]</w:t>
      </w:r>
      <w:r>
        <w:rPr>
          <w:rFonts w:ascii="Times New Roman" w:hAnsi="Times New Roman"/>
          <w:b w:val="0"/>
          <w:i w:val="0"/>
        </w:rPr>
        <w:t>. Việc sửa đổi, bổ sung do Giám đốc quyết định bằng văn bản.</w:t>
      </w:r>
    </w:p>
    <w:sectPr w:rsidR="00FC693F" w:rsidRPr="0006063C" w:rsidSect="00034616">
      <w:footerReference w:type="default" r:id="rId9"/>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olor w:val="808080"/>
        <w:sz w:val="16"/>
      </w:rPr>
      <w:t>Mẫu tham khảo do TRÍ TÍN biên soạn, rà soát theo quy định đến ngày 21/10/2026. Xóa dòng này khi sử dụng. Hotline/Zalo 0901 305 405 · www.tritinconsulting.com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